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2007/22 vom 19. Mai 2008</w:t>
      </w:r>
    </w:p>
    <w:p>
      <w:r>
        <w:t>Sg Versicherungsgericht, 2008-05-19, DE</w:t>
      </w:r>
    </w:p>
    <w:p>
      <w:r>
        <w:rPr>
          <w:b/>
        </w:rPr>
        <w:t xml:space="preserve">Quelle: </w:t>
      </w:r>
      <w:r>
        <w:t>https://mcp.opencaselaw.ch/entscheid/sg_publikationen_IV 2007_22</w:t>
      </w:r>
    </w:p>
    <w:p>
      <w:r>
        <w:t>FR: SG_VERSICHERUNGSGERICHT IV 2007/22 du 19 mai 2008</w:t>
      </w:r>
    </w:p>
    <w:p>
      <w:r>
        <w:t>IT: SG_VERSICHERUNGSGERICHT IV 2007/22 del 19 maggio 2008</w:t>
      </w:r>
    </w:p>
    <w:p>
      <w:pPr>
        <w:pStyle w:val="Heading2"/>
      </w:pPr>
      <w:r>
        <w:t>Regeste</w:t>
      </w:r>
    </w:p>
    <w:p>
      <w:r>
        <w:t>Art. 43 ATSG Beweiswert von Arztberichten Fall mit Addition von somatischer und psychiatrischer Arbeitsunfähigkeitsschätzung (Entscheid des Versicherungsgerichts des Kantons St. Gallen vom 19. Mai 2008, IV 2007/22).</w:t>
      </w:r>
    </w:p>
    <w:p>
      <w:pPr>
        <w:pStyle w:val="Heading2"/>
      </w:pPr>
      <w:r>
        <w:t>Erwägungen</w:t>
      </w:r>
    </w:p>
    <w:p>
      <w:r>
        <w:rPr>
          <w:b/>
        </w:rPr>
        <w:t>E. 1</w:t>
      </w:r>
    </w:p>
    <w:p>
      <w:r>
        <w:t>Vorgängig ist in verfahrensrechtlicher Hinsicht zu bemerken, dass ein Revisionsverfahren erst nach Erlass einer Verfügung eingeleitet werden kann. Da am 7. April 2006 noch keine Verfügung vorlag, kann das Schreiben desselben Tages (act. G 3.1.53) nicht als Revisionsgesuch angesehen werden, weshalb auch die entsprechende Sistierung des Revisionsverfahrens vom 31. Mai 2006 (act. G 3.1.66) ins Leere stiess.</w:t>
      </w:r>
    </w:p>
    <w:p>
      <w:r>
        <w:rPr>
          <w:b/>
        </w:rPr>
        <w:t>E. 2</w:t>
      </w:r>
    </w:p>
    <w:p>
      <w:r>
        <w:t>Nach der Rechtsprechung stellt das Sozialversicherungsgericht bei der Beurteilung einer Streitsache auf den bis zum Zeitpunkt des Erlasses des streitigen Einspracheentscheids (hier 27. November 2006) eingetretenen Sachverhalt ab ( BGE 129 V 4 E. 1.2 neues Fenster mit Hinweis). Allfällige Veränderungen als Folge der Operation im Februar 2007 sind im vorliegenden Beschwerdeverfahren nicht zu berücksichtigen, sondern könnten allenfalls zu einer Revision Anlass geben. Ferner sind in zeitlicher Hinsicht grundsätzlich diejenigen Rechtssätze massgebend, die bei der Erfüllung des zu Rechtsfolgen führenden Tatbestandes Geltung hatten ( BGE 130 V 329 neues Fenster , 127 V 467 E. 1 neues Fenster ). Daher finden bei der Beurteilung des geltend gemachten Anspruchs die auf den 1. Januar 2008 eingetretenen Änderungen des IVG keine Anwendung. 2.1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2.2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2.3  Nach Art. 88a IVV ist eine anspruchsbeeinflussende Änderung bei einer Verschlechterung der Erwerbsfähigkeit zu berücksichtigen, sobald sie ohne wesentliche Unterbrechung drei Monate angedauert hat (Abs. 2), bei einer Verbesserung von dem Zeitpunkt an, in dem angenommen werden kann, dass sie voraussichtlich längere Zeit dauern wird, in jedem Fall nachdem sie ohne wesentliche Unterbrechung drei Monate angedauert hat und voraussichtlich weiterhin andauern wird (Abs. 1).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In diesem Rahmen haben Verwaltungsbehörden und Sozialversicherungsrichter zusätzliche Abklärungen stets dann vorzunehmen oder zu veranlassen, wenn hiezu aufgrund der Parteivorbringen oder anderer sich aus den Akten ergebender Anhaltspunkte hinreichender Anlass besteht (BGE 117 V 282 E. 4a; BGE 100 V 52 = ZAK 1985, 53, E. 4a mit Hinweisen). In beweisrechtlicher Hinsicht gilt in Bezug auf alle Unterlagen der Grundsatz der freien Beweiswürdigung (BGE 122 V 157; BGE 123 V 331 E. 1c).</w:t>
      </w:r>
    </w:p>
    <w:p>
      <w:r>
        <w:rPr>
          <w:b/>
        </w:rPr>
        <w:t>E. 3</w:t>
      </w:r>
    </w:p>
    <w:p>
      <w:r>
        <w:t>3.1  Streitig und zu prüfen ist der Rentenanspruch bzw. der Grad der Arbeitsunfähigkeit. Der Einspracheentscheid vom 27. November 2006 stützt sich hauptsächlich auf das Gutachten des medizinischen Zentrums Römerhof vom 14. Juli 2005. Gemäss diesem Gutachten ist der Beschwerdeführer in adaptierter Tätigkeit zu 60 % arbeitsfähig. Auffällig ist, dass von der psychiatrisch bewirkten 20%-igen Arbeitsfähigkeit ohne nähere Begründung gesagt wird, sie verhalte sich additiv zur ebenfalls 20%-igen somatischen Arbeitsunfähigkeit. Nachdem der RAD-Arzt die Gesamtwürdigung als angemessen bezeichnet hat und diese mit der übrigen Aktenlage vereinbar ist, kann das Gericht darauf abstellen. Das Gutachten erfüllt auch sonst die entscheidenden Voraussetzungen für den Beweiswert eines Arztberichts. Der Bericht ist für die streitigen Belange umfassend, beruht auf allseitigen Untersuchungen, berücksichtigt die geklagten Beschwerden und ist in Kenntnis der Vorakten abgegeben worden. Er leuchtet in der Darlegung der medizinischen Zusammenhänge und in der Beurteilung der medizinischen Situation ein. Die Schlussfolgerungen der Experten sind begründet (BGE 125 V 352 E. 3a). Damit ist auf das Gutachten abzustellen. 3.2  Dem steht nicht entgegen, dass der Beschwerdeführer behauptet, der Gesundheitszustand sei nicht bzw. nur rudimentär abgeklärt worden, da sich die Beschwerdegegnerin hauptsächlich auf den Brief von Dr. A.___ vom 5. November 2006, einem Sechszeiler, an einen ihm unbekannten Anwalt, stütze. Denn Dr. A.___ nimmt in diesem Sechszeiler vom 5. November 2006 eben gerade Bezug auf das umfassende Gutachten vom Zentrum Römerhof. So lässt sich dem Sechszeiler entnehmen, dass sich der Zustand des Beschwerdeführers nicht verändert habe seit der Abklärung der Medas (Zentrum Römerhof; act. G 3.1.71). Dieses Gutachten widerspiegelt also im Zeitpunkt des Einspracheentscheids noch den aktuellen Gesundheitszustand und ist somit weiterhin massgebend. Auch aus dem Schreiben vom Dr. H.___ vom 26. September 2006 kann der Beschwerdeführer nichts zu seinen Gunsten ableiten, lassen sich ihm doch keine Hinweise für eine Verschlechterung des Gesundheitszustands entnehmen. 3.3  Soweit der Beschwerdeführer geltend macht, dass vorliegend von seiner Arbeitsfähigkeit als Hilfsarbeiter in der Baubranche (angestammte Tätigkeit) ausgegangen werden müsse, welche 0% betrage, so ist ihm entgegenzuhalten, dass bei langer Dauer auch die zumutbare Tätigkeit in einem anderen Beruf oder Aufgabenbereicht zu berücksichtigen ist (Art 6 ATSG). Der allgemeine und ausgeglichene Arbeitsmarkt weist genügend Stellen auf, an denen nur körperlich leichte Hilfsarbeiten zu verrichten sind, welche den Einschränkungen des Beschwerdeführers gerecht werden. 3.4  Zusammenfassend lässt sich die von der Vorinstanz festgestellte Arbeitsfähigkeit von 60% auch unter Mitberücksichtigung der Schreiben von Dr. A.___ und Dr. H.___ somit nicht beanstanden. Führen die von Amtes wegen vorzunehmenden Abklärungen die Verwaltung oder das Gericht bei pflichtgemässer Beweiswürdigung zur Überzeugung, ein bestimmter Sachverhalt sei überwiegend wahrscheinlich und weitere Beweismassnahmen könnten an diesem feststehendem Ergebnis nichts mehr ändern, ist auf die Abnahme weiterer Beweise zu verzichten (antipizierte Beweiswürdigung; Urteil vom 27. April 2005 I 769/04 E. 3 mit Hinweisen). Angesichts dessen, dass die Akten eine zuverlässige Beurteilung der Auswirkungen des Gesundheitszustands auf die Arbeits- und Erwerbsfähigkeit zulassen, kann das Gericht von den beantragten Abklärungsmassnahmen absehen, da von ihnen keine neuen Erkenntnisse zu erwarten sind.</w:t>
      </w:r>
    </w:p>
    <w:p>
      <w:r>
        <w:rPr>
          <w:b/>
        </w:rPr>
        <w:t>E. 4</w:t>
      </w:r>
    </w:p>
    <w:p>
      <w:r>
        <w:t>4.1  Im Sinne der vorstehenden Erwägungen ist die Beschwerde abzuweisen. 4.2  Es besteht bei diesem Ausgang des Verfahrens kein Anspruch auf eine Parteientschädigung. Der Beschwerdeführer hat aber ein Gesuch um unentgeltliche Rechtsverbeiständung stellen lassen. Aufgrund der eingereichten Unterlagen sind die Voraussetzungen erfüllt, sodass die unentgeltliche Rechtsverbeiständung zu bewilligen ist. Rechtsanwalt Dr. iur. Peter Conzett, Eichberg, wird zum Beistand bestimmt. Die Höhe der Entschädigung ist vom Gericht ermessensweise festzusetzen. Eine Entschädigung von Fr. 3'500.-- erscheint als angemessen. Diese Entschädigung ist in Anwendung von Art. 31 Abs. 3 des st. gallischen Anwaltsgesetzes um 20 % auf Fr. 2'800.-- (einschliesslich Barauslagen und Mehrwertsteuer) zu kürzen. 4.3  Gemäss den Schlussbestimmungen des IVG zur Änderung vom 16. Dezember 2005, in Kraft seit 1. Juli 2006, gilt für die vor dem 1. Juli 2006 von der IV-Stelle erlassenen, aber noch nicht rechtskräftigen Verfügungen das bisherige Recht (lit. a der Schlussbestimmungen). Somit gelangt Art. 69 Abs. 1 bis IVG zur Kostenpflicht von Streitigkeiten um die Bewilligung oder die Verweigerung von IV-Leistungen im kantonalen Gerichtsverfahren nicht zur Anwendung. Gerichtskosten sind somit keine zu erheben. Demgemäss hat das Versicherungsgericht im Zirkulationsverfahren gemäss Art. 53 GerG entschieden: 1.  Die Beschwerde wird abgewiesen. 2.  Es werden keine Gerichtskosten erhoben. 3.  Der Staat entschädigt den Rechtsbeistand des Beschwerdeführers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